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天津工艺美术职业学院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  <w:bookmarkStart w:id="3" w:name="_GoBack"/>
      <w:bookmarkEnd w:id="3"/>
    </w:p>
    <w:p>
      <w:pPr>
        <w:jc w:val="center"/>
        <w:rPr>
          <w:rFonts w:hint="eastAsia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2024年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）</w:t>
      </w:r>
      <w:r>
        <w:rPr>
          <w:rFonts w:hint="eastAsia" w:ascii="宋体" w:hAnsi="宋体" w:eastAsia="宋体" w:cs="宋体"/>
          <w:sz w:val="21"/>
          <w:lang w:val="uk-UA"/>
        </w:rPr>
        <w:t xml:space="preserve"> </w:t>
      </w:r>
    </w:p>
    <w:p>
      <w:pPr>
        <w:jc w:val="center"/>
      </w:pPr>
      <w:r>
        <w:rPr>
          <w:rFonts w:hint="eastAsia" w:ascii="宋体" w:hAnsi="宋体" w:eastAsia="宋体" w:cs="宋体"/>
          <w:sz w:val="21"/>
        </w:rPr>
        <w:t xml:space="preserve"> </w:t>
      </w:r>
    </w:p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9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9"/>
        <w:tabs>
          <w:tab w:val="right" w:pos="9282"/>
        </w:tabs>
        <w:rPr>
          <w:rStyle w:val="16"/>
          <w:rFonts w:hint="eastAsia" w:ascii="方正仿宋_GBK" w:hAnsi="方正仿宋_GBK" w:eastAsia="方正仿宋_GBK" w:cs="方正仿宋_GBK"/>
          <w:lang w:eastAsia="zh-CN"/>
        </w:rPr>
      </w:pPr>
      <w:r>
        <w:rPr>
          <w:rStyle w:val="16"/>
          <w:rFonts w:hint="eastAsia" w:ascii="方正仿宋_GBK" w:hAnsi="方正仿宋_GBK" w:eastAsia="方正仿宋_GBK" w:cs="方正仿宋_GBK"/>
        </w:rPr>
        <w:fldChar w:fldCharType="begin"/>
      </w:r>
      <w:r>
        <w:rPr>
          <w:rStyle w:val="16"/>
          <w:rFonts w:hint="eastAsia" w:ascii="方正仿宋_GBK" w:hAnsi="方正仿宋_GBK" w:eastAsia="方正仿宋_GBK" w:cs="方正仿宋_GBK"/>
        </w:rPr>
        <w:instrText xml:space="preserve"> HYPERLINK \l "_Toc157760392" </w:instrText>
      </w:r>
      <w:r>
        <w:rPr>
          <w:rStyle w:val="16"/>
          <w:rFonts w:hint="eastAsia" w:ascii="方正仿宋_GBK" w:hAnsi="方正仿宋_GBK" w:eastAsia="方正仿宋_GBK" w:cs="方正仿宋_GBK"/>
        </w:rPr>
        <w:fldChar w:fldCharType="separate"/>
      </w:r>
      <w:r>
        <w:rPr>
          <w:rStyle w:val="16"/>
          <w:rFonts w:hint="eastAsia" w:ascii="方正仿宋_GBK" w:hAnsi="方正仿宋_GBK" w:eastAsia="方正仿宋_GBK" w:cs="方正仿宋_GBK"/>
          <w:lang w:val="en-US" w:eastAsia="zh-CN"/>
        </w:rPr>
        <w:t>1</w:t>
      </w:r>
      <w:r>
        <w:rPr>
          <w:rStyle w:val="16"/>
          <w:rFonts w:hint="eastAsia" w:ascii="方正仿宋_GBK" w:hAnsi="方正仿宋_GBK" w:eastAsia="方正仿宋_GBK" w:cs="方正仿宋_GBK"/>
        </w:rPr>
        <w:t>.</w:t>
      </w:r>
      <w:r>
        <w:rPr>
          <w:rStyle w:val="16"/>
          <w:rFonts w:hint="eastAsia" w:ascii="方正仿宋_GBK" w:hAnsi="方正仿宋_GBK" w:eastAsia="方正仿宋_GBK" w:cs="方正仿宋_GBK"/>
        </w:rPr>
        <w:t>现代职业教育质量提升计划资金-</w:t>
      </w:r>
      <w:r>
        <w:rPr>
          <w:rStyle w:val="16"/>
          <w:rFonts w:hint="eastAsia" w:ascii="方正仿宋_GBK" w:hAnsi="方正仿宋_GBK" w:eastAsia="方正仿宋_GBK" w:cs="方正仿宋_GBK"/>
        </w:rPr>
        <w:t>中央（2024</w:t>
      </w:r>
      <w:r>
        <w:rPr>
          <w:rStyle w:val="16"/>
          <w:rFonts w:hint="eastAsia" w:ascii="方正仿宋_GBK" w:hAnsi="方正仿宋_GBK" w:eastAsia="方正仿宋_GBK" w:cs="方正仿宋_GBK"/>
        </w:rPr>
        <w:t>年）绩效目标表</w:t>
      </w:r>
      <w:r>
        <w:rPr>
          <w:rStyle w:val="16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9"/>
        <w:tabs>
          <w:tab w:val="right" w:pos="9282"/>
        </w:tabs>
        <w:rPr>
          <w:rStyle w:val="16"/>
          <w:rFonts w:hint="eastAsia" w:ascii="方正仿宋_GBK" w:hAnsi="方正仿宋_GBK" w:eastAsia="方正仿宋_GBK" w:cs="方正仿宋_GBK"/>
          <w:lang w:eastAsia="zh-CN"/>
        </w:rPr>
      </w:pPr>
      <w:r>
        <w:rPr>
          <w:rStyle w:val="16"/>
          <w:rFonts w:hint="eastAsia" w:ascii="方正仿宋_GBK" w:hAnsi="方正仿宋_GBK" w:eastAsia="方正仿宋_GBK" w:cs="方正仿宋_GBK"/>
        </w:rPr>
        <w:fldChar w:fldCharType="begin"/>
      </w:r>
      <w:r>
        <w:rPr>
          <w:rStyle w:val="16"/>
          <w:rFonts w:hint="eastAsia" w:ascii="方正仿宋_GBK" w:hAnsi="方正仿宋_GBK" w:eastAsia="方正仿宋_GBK" w:cs="方正仿宋_GBK"/>
        </w:rPr>
        <w:instrText xml:space="preserve"> HYPERLINK \l "_Toc157760393" </w:instrText>
      </w:r>
      <w:r>
        <w:rPr>
          <w:rStyle w:val="16"/>
          <w:rFonts w:hint="eastAsia" w:ascii="方正仿宋_GBK" w:hAnsi="方正仿宋_GBK" w:eastAsia="方正仿宋_GBK" w:cs="方正仿宋_GBK"/>
        </w:rPr>
        <w:fldChar w:fldCharType="separate"/>
      </w:r>
      <w:r>
        <w:rPr>
          <w:rStyle w:val="16"/>
          <w:rFonts w:hint="eastAsia" w:ascii="方正仿宋_GBK" w:hAnsi="方正仿宋_GBK" w:eastAsia="方正仿宋_GBK" w:cs="方正仿宋_GBK"/>
        </w:rPr>
        <w:t>2.</w:t>
      </w:r>
      <w:r>
        <w:rPr>
          <w:rStyle w:val="16"/>
          <w:rFonts w:hint="eastAsia" w:ascii="方正仿宋_GBK" w:hAnsi="方正仿宋_GBK" w:eastAsia="方正仿宋_GBK" w:cs="方正仿宋_GBK"/>
        </w:rPr>
        <w:t>学生资助补助经费-01</w:t>
      </w:r>
      <w:r>
        <w:rPr>
          <w:rStyle w:val="16"/>
          <w:rFonts w:hint="eastAsia" w:ascii="方正仿宋_GBK" w:hAnsi="方正仿宋_GBK" w:eastAsia="方正仿宋_GBK" w:cs="方正仿宋_GBK"/>
        </w:rPr>
        <w:t>中央直达资金绩效目标表</w:t>
      </w:r>
      <w:r>
        <w:rPr>
          <w:rStyle w:val="16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9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Style w:val="16"/>
          <w:rFonts w:hint="eastAsia" w:ascii="方正仿宋_GBK" w:hAnsi="方正仿宋_GBK" w:eastAsia="方正仿宋_GBK" w:cs="方正仿宋_GBK"/>
        </w:rPr>
        <w:fldChar w:fldCharType="begin"/>
      </w:r>
      <w:r>
        <w:rPr>
          <w:rStyle w:val="16"/>
          <w:rFonts w:hint="eastAsia" w:ascii="方正仿宋_GBK" w:hAnsi="方正仿宋_GBK" w:eastAsia="方正仿宋_GBK" w:cs="方正仿宋_GBK"/>
        </w:rPr>
        <w:instrText xml:space="preserve"> HYPERLINK \l "_Toc157760394" </w:instrText>
      </w:r>
      <w:r>
        <w:rPr>
          <w:rStyle w:val="16"/>
          <w:rFonts w:hint="eastAsia" w:ascii="方正仿宋_GBK" w:hAnsi="方正仿宋_GBK" w:eastAsia="方正仿宋_GBK" w:cs="方正仿宋_GBK"/>
        </w:rPr>
        <w:fldChar w:fldCharType="separate"/>
      </w:r>
      <w:r>
        <w:rPr>
          <w:rStyle w:val="16"/>
          <w:rFonts w:hint="eastAsia" w:ascii="方正仿宋_GBK" w:hAnsi="方正仿宋_GBK" w:eastAsia="方正仿宋_GBK" w:cs="方正仿宋_GBK"/>
          <w:lang w:val="en-US" w:eastAsia="zh-CN"/>
        </w:rPr>
        <w:t>3</w:t>
      </w:r>
      <w:r>
        <w:rPr>
          <w:rStyle w:val="16"/>
          <w:rFonts w:hint="eastAsia" w:ascii="方正仿宋_GBK" w:hAnsi="方正仿宋_GBK" w:eastAsia="方正仿宋_GBK" w:cs="方正仿宋_GBK"/>
        </w:rPr>
        <w:t>.</w:t>
      </w:r>
      <w:r>
        <w:rPr>
          <w:rStyle w:val="16"/>
          <w:rFonts w:hint="eastAsia" w:ascii="方正仿宋_GBK" w:hAnsi="方正仿宋_GBK" w:eastAsia="方正仿宋_GBK" w:cs="方正仿宋_GBK"/>
        </w:rPr>
        <w:t>学生资助政策体系绩效目标表</w:t>
      </w:r>
      <w:r>
        <w:rPr>
          <w:rStyle w:val="16"/>
          <w:rFonts w:hint="eastAsia"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0" w:name="_Toc15776039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.现代职业教育质量提升计划资金-中央（2024年）绩效目标表</w:t>
      </w:r>
      <w:bookmarkEnd w:id="0"/>
    </w:p>
    <w:tbl>
      <w:tblPr>
        <w:tblStyle w:val="13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363223天津工艺美术职业学院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22"/>
            </w:pPr>
            <w:r>
              <w:t>现代职业教育质量提升计划资金-中央（2024年）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97.16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97.16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22"/>
            </w:pPr>
            <w:r>
              <w:t>完成教学平台使用和在线课程建设及教师培训。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22"/>
            </w:pPr>
            <w:r>
              <w:t>1.重点开展现代职业教育质量提升计划，紧密对接天津经济社会产业发展，提升学院关键能力，提高教师素质。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课程数目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课程数目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7门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课程运行情况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课程运行情况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≥2学年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资金支付及时性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资金支付及时性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≤97.16万元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促进在线课程工作质量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促进在线课程工作质量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课程运行时间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课程运行时间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≥2学年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申请人满意度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申请人满意度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760393"/>
      <w:r>
        <w:rPr>
          <w:rFonts w:ascii="方正仿宋_GBK" w:hAnsi="方正仿宋_GBK" w:eastAsia="方正仿宋_GBK" w:cs="方正仿宋_GBK"/>
          <w:sz w:val="28"/>
        </w:rPr>
        <w:t>2.学生资助补助经费-01中央直达资金绩效目标表</w:t>
      </w:r>
      <w:bookmarkEnd w:id="1"/>
    </w:p>
    <w:tbl>
      <w:tblPr>
        <w:tblStyle w:val="13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363223天津工艺美术职业学院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22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85.30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85.30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22"/>
            </w:pPr>
            <w:r>
              <w:t>学生奖助学金及义务兵役补偿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22"/>
            </w:pPr>
            <w:r>
              <w:t>1.奖励优秀在校学生，帮助家庭经济困难学生顺利完成学业，完成义务兵役补偿。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本专科生国家奖学金奖励人数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本专科生国家奖学金奖励人数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≥300人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奖助金覆盖面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奖助金覆盖面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≥5%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补助资金发放率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补助资金发放率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补助资金发放金额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补助资金发放金额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85.3万元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改善补助对象生活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改善补助对象生活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显著改善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补助对象满意度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76039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.学生资助政策体系绩效目标表</w:t>
      </w:r>
      <w:bookmarkEnd w:id="2"/>
    </w:p>
    <w:tbl>
      <w:tblPr>
        <w:tblStyle w:val="13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363223天津工艺美术职业学院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22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88.03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88.03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22"/>
            </w:pPr>
            <w:r>
              <w:t>学生奖助学金及义务兵役补偿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22"/>
            </w:pPr>
            <w:r>
              <w:t>1.奖励优秀在校学生，帮助家庭经济困难学生顺利完成学业，完成义务兵役补偿。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本专科生国家奖学金奖励人数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本专科生国家奖学金奖励人数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≥300人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奖助金覆盖面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奖助金覆盖面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≥5%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补助资金发放率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补助资金发放率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补助资金发放金额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补助资金发放金额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88.03万元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改善补助对象生活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改善补助对象生活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显著改善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22"/>
            </w:pPr>
            <w:r>
              <w:t>补助对象满意度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补助对象满意度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zOTI5MzIzZmExZjA4NDVkNTc5NGQ4MTVjYTY5MjkifQ=="/>
  </w:docVars>
  <w:rsids>
    <w:rsidRoot w:val="00DD71FF"/>
    <w:rsid w:val="009E4EC6"/>
    <w:rsid w:val="00D919D0"/>
    <w:rsid w:val="00DD71FF"/>
    <w:rsid w:val="07AC1D64"/>
    <w:rsid w:val="1A1E42B7"/>
    <w:rsid w:val="2BCDE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39"/>
    <w:pPr>
      <w:widowControl w:val="0"/>
      <w:ind w:left="2520" w:leftChars="12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5">
    <w:name w:val="toc 8"/>
    <w:basedOn w:val="1"/>
    <w:next w:val="1"/>
    <w:unhideWhenUsed/>
    <w:qFormat/>
    <w:uiPriority w:val="39"/>
    <w:pPr>
      <w:widowControl w:val="0"/>
      <w:ind w:left="2940" w:leftChars="14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spacing w:before="120"/>
    </w:pPr>
    <w:rPr>
      <w:rFonts w:eastAsia="方正仿宋_GBK"/>
      <w:color w:val="000000"/>
      <w:sz w:val="28"/>
    </w:rPr>
  </w:style>
  <w:style w:type="paragraph" w:styleId="9">
    <w:name w:val="toc 4"/>
    <w:basedOn w:val="1"/>
    <w:next w:val="1"/>
    <w:qFormat/>
    <w:uiPriority w:val="39"/>
    <w:pPr>
      <w:ind w:left="720"/>
    </w:pPr>
  </w:style>
  <w:style w:type="paragraph" w:styleId="10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11">
    <w:name w:val="toc 2"/>
    <w:basedOn w:val="1"/>
    <w:next w:val="1"/>
    <w:qFormat/>
    <w:uiPriority w:val="39"/>
    <w:pPr>
      <w:ind w:left="240"/>
    </w:pPr>
  </w:style>
  <w:style w:type="paragraph" w:styleId="12">
    <w:name w:val="toc 9"/>
    <w:basedOn w:val="1"/>
    <w:next w:val="1"/>
    <w:unhideWhenUsed/>
    <w:qFormat/>
    <w:uiPriority w:val="39"/>
    <w:pPr>
      <w:widowControl w:val="0"/>
      <w:ind w:left="3360" w:leftChars="16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table" w:styleId="14">
    <w:name w:val="Table Grid"/>
    <w:basedOn w:val="1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2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2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5">
    <w:name w:val="页眉 Char"/>
    <w:basedOn w:val="15"/>
    <w:link w:val="7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Char"/>
    <w:basedOn w:val="15"/>
    <w:link w:val="6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26832</Words>
  <Characters>152944</Characters>
  <Lines>1274</Lines>
  <Paragraphs>358</Paragraphs>
  <TotalTime>4</TotalTime>
  <ScaleCrop>false</ScaleCrop>
  <LinksUpToDate>false</LinksUpToDate>
  <CharactersWithSpaces>179418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2024-02-01T23:09:00Z</dcterms:created>
  <dc:creator>zhaoj_9mn0uk2</dc:creator>
  <cp:lastModifiedBy>kylin</cp:lastModifiedBy>
  <dcterms:modified xsi:type="dcterms:W3CDTF">2024-02-21T10:29:33Z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0ED61AD429564B87B9017967E725D549_13</vt:lpwstr>
  </property>
</Properties>
</file>